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A0F8B" w14:textId="673F26EE" w:rsidR="00D75154" w:rsidRPr="0088201A" w:rsidRDefault="00D75154" w:rsidP="00D751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CR"/>
        </w:rPr>
      </w:pPr>
      <w:r w:rsidRPr="00E676E4">
        <w:rPr>
          <w:rFonts w:ascii="Arial" w:eastAsia="Times New Roman" w:hAnsi="Arial" w:cs="Arial"/>
          <w:b/>
          <w:iCs/>
          <w:color w:val="222222"/>
          <w:sz w:val="24"/>
          <w:lang w:eastAsia="es-CR"/>
        </w:rPr>
        <w:t xml:space="preserve">Propuesta de </w:t>
      </w:r>
      <w:r w:rsidR="006B7D63">
        <w:rPr>
          <w:rFonts w:ascii="Arial" w:eastAsia="Times New Roman" w:hAnsi="Arial" w:cs="Arial"/>
          <w:b/>
          <w:iCs/>
          <w:color w:val="222222"/>
          <w:sz w:val="24"/>
          <w:lang w:eastAsia="es-CR"/>
        </w:rPr>
        <w:t>Modelo de Gobernanza de Datos para el Sector Público</w:t>
      </w:r>
      <w:r w:rsidRPr="00E676E4">
        <w:rPr>
          <w:rFonts w:ascii="Arial" w:hAnsi="Arial" w:cs="Arial"/>
          <w:b/>
          <w:sz w:val="24"/>
        </w:rPr>
        <w:t>”</w:t>
      </w:r>
    </w:p>
    <w:p w14:paraId="674339C2" w14:textId="77777777" w:rsidR="00D75154" w:rsidRPr="00496D09" w:rsidRDefault="00D75154" w:rsidP="00D75154">
      <w:pPr>
        <w:spacing w:line="240" w:lineRule="auto"/>
        <w:jc w:val="center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es-CR"/>
        </w:rPr>
      </w:pPr>
      <w:r w:rsidRPr="00496D09">
        <w:rPr>
          <w:rFonts w:ascii="Arial" w:eastAsia="Times New Roman" w:hAnsi="Arial" w:cs="Arial"/>
          <w:b/>
          <w:i/>
          <w:iCs/>
          <w:color w:val="222222"/>
          <w:shd w:val="clear" w:color="auto" w:fill="FFFFFF"/>
          <w:lang w:eastAsia="es-CR"/>
        </w:rPr>
        <w:t>Año</w:t>
      </w:r>
      <w:r w:rsidRPr="00496D09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es-CR"/>
        </w:rPr>
        <w:t>: 2025</w:t>
      </w:r>
    </w:p>
    <w:p w14:paraId="4A536BCA" w14:textId="63222943" w:rsidR="00D34B3F" w:rsidRDefault="00EE3174" w:rsidP="007F40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sus aportes a</w:t>
      </w:r>
      <w:r w:rsidR="004D165C">
        <w:rPr>
          <w:rFonts w:ascii="Arial" w:hAnsi="Arial" w:cs="Arial"/>
        </w:rPr>
        <w:t xml:space="preserve"> la </w:t>
      </w:r>
      <w:r w:rsidR="004D165C" w:rsidRPr="004D165C">
        <w:rPr>
          <w:rFonts w:ascii="Arial" w:hAnsi="Arial" w:cs="Arial"/>
        </w:rPr>
        <w:t>Propuesta</w:t>
      </w:r>
      <w:r w:rsidR="00D75154">
        <w:rPr>
          <w:rFonts w:ascii="Arial" w:hAnsi="Arial" w:cs="Arial"/>
        </w:rPr>
        <w:t xml:space="preserve"> de</w:t>
      </w:r>
      <w:r w:rsidR="007F40A1">
        <w:rPr>
          <w:rFonts w:ascii="Arial" w:hAnsi="Arial" w:cs="Arial"/>
        </w:rPr>
        <w:t xml:space="preserve"> Modelo de Gobernanza de Datos para el sector público costarricense</w:t>
      </w:r>
      <w:r>
        <w:rPr>
          <w:rFonts w:ascii="Arial" w:hAnsi="Arial" w:cs="Arial"/>
        </w:rPr>
        <w:t>,</w:t>
      </w:r>
      <w:r w:rsidR="007F40A1">
        <w:rPr>
          <w:rFonts w:ascii="Arial" w:hAnsi="Arial" w:cs="Arial"/>
        </w:rPr>
        <w:t xml:space="preserve"> mismo que tiene por objetivo </w:t>
      </w:r>
      <w:r w:rsidR="007F40A1" w:rsidRPr="007F40A1">
        <w:rPr>
          <w:rFonts w:ascii="Arial" w:hAnsi="Arial" w:cs="Arial"/>
        </w:rPr>
        <w:t>Implementar un modelo de gobernanza por medio del alineamiento estratégico</w:t>
      </w:r>
      <w:r w:rsidR="007F40A1">
        <w:rPr>
          <w:rFonts w:ascii="Arial" w:hAnsi="Arial" w:cs="Arial"/>
        </w:rPr>
        <w:t xml:space="preserve"> </w:t>
      </w:r>
      <w:r w:rsidR="007F40A1" w:rsidRPr="007F40A1">
        <w:rPr>
          <w:rFonts w:ascii="Arial" w:hAnsi="Arial" w:cs="Arial"/>
        </w:rPr>
        <w:t>de la gestión estatal de datos, que genere valor público mediante un conjunto de</w:t>
      </w:r>
      <w:r w:rsidR="007F40A1">
        <w:rPr>
          <w:rFonts w:ascii="Arial" w:hAnsi="Arial" w:cs="Arial"/>
        </w:rPr>
        <w:t xml:space="preserve"> </w:t>
      </w:r>
      <w:r w:rsidR="007F40A1" w:rsidRPr="007F40A1">
        <w:rPr>
          <w:rFonts w:ascii="Arial" w:hAnsi="Arial" w:cs="Arial"/>
        </w:rPr>
        <w:t>procesos, funciones, mediciones, normas, políticas y procedimientos que</w:t>
      </w:r>
      <w:r w:rsidR="007F40A1">
        <w:rPr>
          <w:rFonts w:ascii="Arial" w:hAnsi="Arial" w:cs="Arial"/>
        </w:rPr>
        <w:t xml:space="preserve"> </w:t>
      </w:r>
      <w:r w:rsidR="007F40A1" w:rsidRPr="007F40A1">
        <w:rPr>
          <w:rFonts w:ascii="Arial" w:hAnsi="Arial" w:cs="Arial"/>
        </w:rPr>
        <w:t>garanticen el uso seguro, eficaz, transparente y eficiente de los datos para apoyar</w:t>
      </w:r>
      <w:r w:rsidR="007F40A1">
        <w:rPr>
          <w:rFonts w:ascii="Arial" w:hAnsi="Arial" w:cs="Arial"/>
        </w:rPr>
        <w:t xml:space="preserve"> </w:t>
      </w:r>
      <w:r w:rsidR="007F40A1" w:rsidRPr="007F40A1">
        <w:rPr>
          <w:rFonts w:ascii="Arial" w:hAnsi="Arial" w:cs="Arial"/>
        </w:rPr>
        <w:t>y fortalecer la toma de decisiones y la generación de conocimiento, con ética y</w:t>
      </w:r>
      <w:r w:rsidR="007F40A1">
        <w:rPr>
          <w:rFonts w:ascii="Arial" w:hAnsi="Arial" w:cs="Arial"/>
        </w:rPr>
        <w:t xml:space="preserve"> </w:t>
      </w:r>
      <w:r w:rsidR="007F40A1" w:rsidRPr="007F40A1">
        <w:rPr>
          <w:rFonts w:ascii="Arial" w:hAnsi="Arial" w:cs="Arial"/>
        </w:rPr>
        <w:t>respeto de los derechos humanos.</w:t>
      </w:r>
      <w:r>
        <w:rPr>
          <w:rFonts w:ascii="Arial" w:hAnsi="Arial" w:cs="Arial"/>
        </w:rPr>
        <w:t xml:space="preserve"> </w:t>
      </w:r>
      <w:r w:rsidR="007F40A1">
        <w:rPr>
          <w:rFonts w:ascii="Arial" w:hAnsi="Arial" w:cs="Arial"/>
        </w:rPr>
        <w:t>E</w:t>
      </w:r>
      <w:r>
        <w:rPr>
          <w:rFonts w:ascii="Arial" w:hAnsi="Arial" w:cs="Arial"/>
        </w:rPr>
        <w:t>n caso de tener</w:t>
      </w:r>
      <w:r w:rsidRPr="001E6ED9">
        <w:rPr>
          <w:rFonts w:ascii="Arial" w:hAnsi="Arial" w:cs="Arial"/>
        </w:rPr>
        <w:t xml:space="preserve"> observaci</w:t>
      </w:r>
      <w:r>
        <w:rPr>
          <w:rFonts w:ascii="Arial" w:hAnsi="Arial" w:cs="Arial"/>
        </w:rPr>
        <w:t>ones</w:t>
      </w:r>
      <w:r w:rsidRPr="001E6ED9">
        <w:rPr>
          <w:rFonts w:ascii="Arial" w:hAnsi="Arial" w:cs="Arial"/>
        </w:rPr>
        <w:t>, comentario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o propuesta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de ajuste por favor realizarlo en </w:t>
      </w:r>
      <w:r>
        <w:rPr>
          <w:rFonts w:ascii="Arial" w:hAnsi="Arial" w:cs="Arial"/>
        </w:rPr>
        <w:t>el siguiente cuadro</w:t>
      </w:r>
      <w:r w:rsidR="00D34B3F">
        <w:rPr>
          <w:rFonts w:ascii="Arial" w:hAnsi="Arial" w:cs="Arial"/>
        </w:rPr>
        <w:t xml:space="preserve">. </w:t>
      </w:r>
    </w:p>
    <w:p w14:paraId="2E68F996" w14:textId="77777777" w:rsidR="00935B77" w:rsidRPr="00935B77" w:rsidRDefault="00935B77" w:rsidP="00935B77">
      <w:pPr>
        <w:spacing w:line="240" w:lineRule="auto"/>
        <w:jc w:val="both"/>
        <w:rPr>
          <w:rFonts w:ascii="Arial" w:hAnsi="Arial" w:cs="Arial"/>
        </w:rPr>
      </w:pPr>
      <w:r w:rsidRPr="00935B77">
        <w:rPr>
          <w:rFonts w:ascii="Arial" w:hAnsi="Arial" w:cs="Arial"/>
        </w:rPr>
        <w:t xml:space="preserve">Se otorga un plazo de </w:t>
      </w:r>
      <w:r w:rsidRPr="00935B77">
        <w:rPr>
          <w:rFonts w:ascii="Arial" w:hAnsi="Arial" w:cs="Arial"/>
          <w:b/>
        </w:rPr>
        <w:t>10 DÍAS HÁBILES</w:t>
      </w:r>
      <w:r w:rsidRPr="00935B77">
        <w:rPr>
          <w:rFonts w:ascii="Arial" w:hAnsi="Arial" w:cs="Arial"/>
        </w:rPr>
        <w:t>, de conformidad con el artículo 36 de la Ley General de la Administración Pública Nº 6227, contados a partir del día hábil siguiente de la publicación de este aviso para presentar las observaciones con la respectiva justificación técnica, científica o legal, para dichos efectos se facilita la plantilla adjunta.</w:t>
      </w:r>
    </w:p>
    <w:p w14:paraId="0C3BAE36" w14:textId="0538BB10" w:rsidR="00935B77" w:rsidRPr="00935B77" w:rsidRDefault="00935B77" w:rsidP="00935B77">
      <w:pPr>
        <w:spacing w:line="240" w:lineRule="auto"/>
        <w:jc w:val="both"/>
        <w:rPr>
          <w:rFonts w:ascii="Arial" w:hAnsi="Arial" w:cs="Arial"/>
        </w:rPr>
      </w:pPr>
      <w:r w:rsidRPr="00935B77">
        <w:rPr>
          <w:rFonts w:ascii="Arial" w:hAnsi="Arial" w:cs="Arial"/>
        </w:rPr>
        <w:t xml:space="preserve">Por favor remitir sus observaciones en el formato indicado, al correo electrónico: </w:t>
      </w:r>
      <w:r w:rsidR="007F40A1">
        <w:rPr>
          <w:rFonts w:ascii="Arial" w:hAnsi="Arial" w:cs="Arial"/>
        </w:rPr>
        <w:t>gobernanzadigital</w:t>
      </w:r>
      <w:r w:rsidRPr="00935B77">
        <w:rPr>
          <w:rFonts w:ascii="Arial" w:hAnsi="Arial" w:cs="Arial"/>
        </w:rPr>
        <w:t>@micitt.go.cr</w:t>
      </w:r>
    </w:p>
    <w:p w14:paraId="6897025D" w14:textId="06D462F5" w:rsidR="00935B77" w:rsidRPr="00935B77" w:rsidRDefault="00935B77" w:rsidP="00935B77">
      <w:pPr>
        <w:spacing w:line="240" w:lineRule="auto"/>
        <w:jc w:val="both"/>
        <w:rPr>
          <w:rFonts w:ascii="Arial" w:hAnsi="Arial" w:cs="Arial"/>
        </w:rPr>
      </w:pPr>
      <w:r w:rsidRPr="00935B77">
        <w:rPr>
          <w:rFonts w:ascii="Arial" w:hAnsi="Arial" w:cs="Arial"/>
        </w:rPr>
        <w:t xml:space="preserve">La consulta inicia el </w:t>
      </w:r>
      <w:r w:rsidR="007F40A1">
        <w:rPr>
          <w:rFonts w:ascii="Arial" w:hAnsi="Arial" w:cs="Arial"/>
        </w:rPr>
        <w:t>27</w:t>
      </w:r>
      <w:r w:rsidRPr="00935B77">
        <w:rPr>
          <w:rFonts w:ascii="Arial" w:hAnsi="Arial" w:cs="Arial"/>
        </w:rPr>
        <w:t xml:space="preserve"> de </w:t>
      </w:r>
      <w:r w:rsidR="007F40A1">
        <w:rPr>
          <w:rFonts w:ascii="Arial" w:hAnsi="Arial" w:cs="Arial"/>
        </w:rPr>
        <w:t>mayo</w:t>
      </w:r>
      <w:r w:rsidRPr="00935B77">
        <w:rPr>
          <w:rFonts w:ascii="Arial" w:hAnsi="Arial" w:cs="Arial"/>
        </w:rPr>
        <w:t xml:space="preserve"> de 2025 y finaliza el </w:t>
      </w:r>
      <w:r w:rsidR="007F40A1">
        <w:rPr>
          <w:rFonts w:ascii="Arial" w:hAnsi="Arial" w:cs="Arial"/>
        </w:rPr>
        <w:t>9</w:t>
      </w:r>
      <w:r w:rsidR="00B54640">
        <w:rPr>
          <w:rFonts w:ascii="Arial" w:hAnsi="Arial" w:cs="Arial"/>
        </w:rPr>
        <w:t xml:space="preserve"> </w:t>
      </w:r>
      <w:r w:rsidRPr="00935B77">
        <w:rPr>
          <w:rFonts w:ascii="Arial" w:hAnsi="Arial" w:cs="Arial"/>
        </w:rPr>
        <w:t xml:space="preserve">de </w:t>
      </w:r>
      <w:r w:rsidR="007F40A1">
        <w:rPr>
          <w:rFonts w:ascii="Arial" w:hAnsi="Arial" w:cs="Arial"/>
        </w:rPr>
        <w:t>junio</w:t>
      </w:r>
      <w:r w:rsidRPr="00935B77">
        <w:rPr>
          <w:rFonts w:ascii="Arial" w:hAnsi="Arial" w:cs="Arial"/>
        </w:rPr>
        <w:t xml:space="preserve"> de</w:t>
      </w:r>
      <w:bookmarkStart w:id="0" w:name="_GoBack"/>
      <w:bookmarkEnd w:id="0"/>
      <w:r w:rsidRPr="00935B77">
        <w:rPr>
          <w:rFonts w:ascii="Arial" w:hAnsi="Arial" w:cs="Arial"/>
        </w:rPr>
        <w:t>l mismo año.</w:t>
      </w:r>
    </w:p>
    <w:p w14:paraId="00D9325A" w14:textId="0442A532" w:rsidR="001F0BAD" w:rsidRPr="009D5816" w:rsidRDefault="001F0BAD" w:rsidP="00EE3174">
      <w:pPr>
        <w:jc w:val="both"/>
        <w:rPr>
          <w:rFonts w:ascii="Arial" w:hAnsi="Arial" w:cs="Arial"/>
          <w:i/>
          <w:u w:val="single"/>
        </w:rPr>
      </w:pPr>
    </w:p>
    <w:tbl>
      <w:tblPr>
        <w:tblStyle w:val="Tablaconcuadrcula"/>
        <w:tblW w:w="13180" w:type="dxa"/>
        <w:tblLook w:val="04A0" w:firstRow="1" w:lastRow="0" w:firstColumn="1" w:lastColumn="0" w:noHBand="0" w:noVBand="1"/>
      </w:tblPr>
      <w:tblGrid>
        <w:gridCol w:w="4392"/>
        <w:gridCol w:w="4394"/>
        <w:gridCol w:w="4394"/>
      </w:tblGrid>
      <w:tr w:rsidR="00EE3174" w:rsidRPr="001E6ED9" w14:paraId="5F709306" w14:textId="77777777" w:rsidTr="00EE3174">
        <w:trPr>
          <w:trHeight w:val="558"/>
        </w:trPr>
        <w:tc>
          <w:tcPr>
            <w:tcW w:w="4392" w:type="dxa"/>
            <w:shd w:val="clear" w:color="auto" w:fill="1F3864" w:themeFill="accent1" w:themeFillShade="80"/>
            <w:vAlign w:val="center"/>
          </w:tcPr>
          <w:p w14:paraId="72E0CE5C" w14:textId="0E775040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Indique el apartado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3559A552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Observación, Comentario o propuesta de Ajuste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4B28050B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Justificación razonada</w:t>
            </w:r>
          </w:p>
          <w:p w14:paraId="5956510F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3174" w:rsidRPr="001E6ED9" w14:paraId="164B9BB7" w14:textId="77777777" w:rsidTr="008D150D">
        <w:trPr>
          <w:trHeight w:val="1238"/>
        </w:trPr>
        <w:tc>
          <w:tcPr>
            <w:tcW w:w="4392" w:type="dxa"/>
          </w:tcPr>
          <w:p w14:paraId="7CC54091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64AF06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3F4ED96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649642D4" w14:textId="77777777" w:rsidTr="008D150D">
        <w:trPr>
          <w:trHeight w:val="1128"/>
        </w:trPr>
        <w:tc>
          <w:tcPr>
            <w:tcW w:w="4392" w:type="dxa"/>
          </w:tcPr>
          <w:p w14:paraId="1B413C3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0AF5ED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2D5868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078CE5A7" w14:textId="77777777" w:rsidTr="008D150D">
        <w:trPr>
          <w:trHeight w:val="1238"/>
        </w:trPr>
        <w:tc>
          <w:tcPr>
            <w:tcW w:w="4392" w:type="dxa"/>
          </w:tcPr>
          <w:p w14:paraId="6DA177A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677EFAC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23287B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150D" w:rsidRPr="001E6ED9" w14:paraId="61906192" w14:textId="77777777" w:rsidTr="008D150D">
        <w:trPr>
          <w:trHeight w:val="1238"/>
        </w:trPr>
        <w:tc>
          <w:tcPr>
            <w:tcW w:w="4392" w:type="dxa"/>
          </w:tcPr>
          <w:p w14:paraId="48CEFE3E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FC78F9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B9CA3D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74D2C365" w14:textId="77777777" w:rsidTr="00EE3174">
        <w:trPr>
          <w:trHeight w:val="1009"/>
        </w:trPr>
        <w:tc>
          <w:tcPr>
            <w:tcW w:w="4392" w:type="dxa"/>
          </w:tcPr>
          <w:p w14:paraId="4352E24D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DC08B5F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AFAED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C1B9BF6" w14:textId="77777777" w:rsidR="00F96C7D" w:rsidRDefault="00F96C7D"/>
    <w:sectPr w:rsidR="00F96C7D" w:rsidSect="008E5F1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94214" w14:textId="77777777" w:rsidR="00416467" w:rsidRDefault="00416467" w:rsidP="008E5F1A">
      <w:pPr>
        <w:spacing w:after="0" w:line="240" w:lineRule="auto"/>
      </w:pPr>
      <w:r>
        <w:separator/>
      </w:r>
    </w:p>
  </w:endnote>
  <w:endnote w:type="continuationSeparator" w:id="0">
    <w:p w14:paraId="4BDC6AD2" w14:textId="77777777" w:rsidR="00416467" w:rsidRDefault="00416467" w:rsidP="008E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B1D05" w14:textId="77777777" w:rsidR="00416467" w:rsidRDefault="00416467" w:rsidP="008E5F1A">
      <w:pPr>
        <w:spacing w:after="0" w:line="240" w:lineRule="auto"/>
      </w:pPr>
      <w:r>
        <w:separator/>
      </w:r>
    </w:p>
  </w:footnote>
  <w:footnote w:type="continuationSeparator" w:id="0">
    <w:p w14:paraId="79D45BBF" w14:textId="77777777" w:rsidR="00416467" w:rsidRDefault="00416467" w:rsidP="008E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C6A38" w14:textId="77777777" w:rsidR="00205013" w:rsidRDefault="00205013" w:rsidP="00205013">
    <w:pPr>
      <w:pStyle w:val="Encabezado"/>
      <w:ind w:left="1134" w:firstLine="1698"/>
      <w:rPr>
        <w:rFonts w:ascii="Arial" w:hAnsi="Arial" w:cs="Arial"/>
        <w:b/>
        <w:bCs/>
        <w:noProof/>
        <w:color w:val="2F5496" w:themeColor="accent1" w:themeShade="BF"/>
      </w:rPr>
    </w:pPr>
    <w:r>
      <w:rPr>
        <w:rFonts w:ascii="Arial" w:hAnsi="Arial" w:cs="Arial"/>
        <w:b/>
        <w:bCs/>
        <w:noProof/>
        <w:color w:val="2F5496" w:themeColor="accent1" w:themeShade="BF"/>
        <w:lang w:eastAsia="es-CR"/>
      </w:rPr>
      <w:drawing>
        <wp:anchor distT="0" distB="0" distL="114300" distR="114300" simplePos="0" relativeHeight="251658240" behindDoc="1" locked="0" layoutInCell="1" allowOverlap="1" wp14:anchorId="19511797" wp14:editId="553AA693">
          <wp:simplePos x="0" y="0"/>
          <wp:positionH relativeFrom="margin">
            <wp:posOffset>89535</wp:posOffset>
          </wp:positionH>
          <wp:positionV relativeFrom="paragraph">
            <wp:posOffset>7620</wp:posOffset>
          </wp:positionV>
          <wp:extent cx="2887980" cy="487045"/>
          <wp:effectExtent l="0" t="0" r="0" b="0"/>
          <wp:wrapTight wrapText="bothSides">
            <wp:wrapPolygon edited="0">
              <wp:start x="427" y="1690"/>
              <wp:lineTo x="427" y="17742"/>
              <wp:lineTo x="14533" y="19432"/>
              <wp:lineTo x="15245" y="19432"/>
              <wp:lineTo x="20802" y="14362"/>
              <wp:lineTo x="20802" y="7604"/>
              <wp:lineTo x="15245" y="1690"/>
              <wp:lineTo x="427" y="1690"/>
            </wp:wrapPolygon>
          </wp:wrapTight>
          <wp:docPr id="209075416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75416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980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6329D" w14:textId="3E490CE2" w:rsidR="008E5F1A" w:rsidRPr="009D5816" w:rsidRDefault="00205013" w:rsidP="00205013">
    <w:pPr>
      <w:pStyle w:val="Encabezado"/>
      <w:rPr>
        <w:rFonts w:ascii="Arial" w:hAnsi="Arial" w:cs="Arial"/>
        <w:b/>
        <w:bCs/>
        <w:noProof/>
        <w:color w:val="2F5496" w:themeColor="accent1" w:themeShade="BF"/>
        <w:sz w:val="20"/>
      </w:rPr>
    </w:pPr>
    <w:r w:rsidRPr="009D5816">
      <w:rPr>
        <w:rFonts w:ascii="Arial" w:hAnsi="Arial" w:cs="Arial"/>
        <w:b/>
        <w:bCs/>
        <w:noProof/>
        <w:color w:val="2F5496" w:themeColor="accent1" w:themeShade="BF"/>
        <w:sz w:val="20"/>
      </w:rPr>
      <w:t xml:space="preserve">Consulta Pública no Vinculante de la </w:t>
    </w:r>
    <w:r w:rsidR="004D165C" w:rsidRPr="009D5816">
      <w:rPr>
        <w:rFonts w:ascii="Arial" w:hAnsi="Arial" w:cs="Arial"/>
        <w:b/>
        <w:bCs/>
        <w:noProof/>
        <w:color w:val="2F5496" w:themeColor="accent1" w:themeShade="BF"/>
        <w:sz w:val="20"/>
      </w:rPr>
      <w:t>Propuesta</w:t>
    </w:r>
    <w:r w:rsidRPr="009D5816">
      <w:rPr>
        <w:rFonts w:ascii="Arial" w:hAnsi="Arial" w:cs="Arial"/>
        <w:b/>
        <w:bCs/>
        <w:noProof/>
        <w:color w:val="2F5496" w:themeColor="accent1" w:themeShade="BF"/>
        <w:sz w:val="20"/>
      </w:rPr>
      <w:t xml:space="preserve"> </w:t>
    </w:r>
    <w:r w:rsidR="00C54111" w:rsidRPr="00C54111">
      <w:rPr>
        <w:rFonts w:ascii="Arial" w:hAnsi="Arial" w:cs="Arial"/>
        <w:b/>
        <w:bCs/>
        <w:noProof/>
        <w:color w:val="2F5496" w:themeColor="accent1" w:themeShade="BF"/>
        <w:sz w:val="20"/>
      </w:rPr>
      <w:t>de Modelo de Gobernanza de Datos para el sector público costarricense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1A"/>
    <w:rsid w:val="001E7011"/>
    <w:rsid w:val="001F0BAD"/>
    <w:rsid w:val="00205013"/>
    <w:rsid w:val="002B05E7"/>
    <w:rsid w:val="003839C5"/>
    <w:rsid w:val="003A2013"/>
    <w:rsid w:val="00416467"/>
    <w:rsid w:val="004878F3"/>
    <w:rsid w:val="004A35BB"/>
    <w:rsid w:val="004D165C"/>
    <w:rsid w:val="005A4F2A"/>
    <w:rsid w:val="006B7D63"/>
    <w:rsid w:val="00703DB9"/>
    <w:rsid w:val="00741400"/>
    <w:rsid w:val="007E11DB"/>
    <w:rsid w:val="007F40A1"/>
    <w:rsid w:val="008D150D"/>
    <w:rsid w:val="008E5F1A"/>
    <w:rsid w:val="00935B77"/>
    <w:rsid w:val="00956862"/>
    <w:rsid w:val="009D5816"/>
    <w:rsid w:val="00AA4043"/>
    <w:rsid w:val="00AE45EC"/>
    <w:rsid w:val="00B54640"/>
    <w:rsid w:val="00BB7CCF"/>
    <w:rsid w:val="00C54111"/>
    <w:rsid w:val="00D34B3F"/>
    <w:rsid w:val="00D75154"/>
    <w:rsid w:val="00EB642B"/>
    <w:rsid w:val="00EE3174"/>
    <w:rsid w:val="00F44A81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FA01E"/>
  <w15:chartTrackingRefBased/>
  <w15:docId w15:val="{636B646C-7180-4799-A49D-6725821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F1A"/>
  </w:style>
  <w:style w:type="paragraph" w:styleId="Piedepgina">
    <w:name w:val="footer"/>
    <w:basedOn w:val="Normal"/>
    <w:link w:val="Piedepgina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F1A"/>
  </w:style>
  <w:style w:type="table" w:styleId="Tablaconcuadrcula">
    <w:name w:val="Table Grid"/>
    <w:basedOn w:val="Tablanormal"/>
    <w:uiPriority w:val="39"/>
    <w:rsid w:val="00EE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4B3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Vargas Obando</dc:creator>
  <cp:keywords/>
  <dc:description/>
  <cp:lastModifiedBy>Cinthya Delgado Solorzano</cp:lastModifiedBy>
  <cp:revision>2</cp:revision>
  <dcterms:created xsi:type="dcterms:W3CDTF">2025-05-26T20:30:00Z</dcterms:created>
  <dcterms:modified xsi:type="dcterms:W3CDTF">2025-05-26T20:30:00Z</dcterms:modified>
</cp:coreProperties>
</file>